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FD9" w:rsidRDefault="004F7FD9">
      <w:r>
        <w:t xml:space="preserve">  </w:t>
      </w:r>
    </w:p>
    <w:p w:rsidR="004F7FD9" w:rsidRPr="0006672A" w:rsidRDefault="004F7FD9">
      <w:pPr>
        <w:rPr>
          <w:lang w:val="ru-RU"/>
        </w:rPr>
      </w:pPr>
      <w:r w:rsidRPr="00F0301E">
        <w:rPr>
          <w:b/>
          <w:bCs/>
          <w:lang w:val="en-US"/>
        </w:rPr>
        <w:t>RFQ</w:t>
      </w:r>
      <w:r w:rsidR="00F249D9" w:rsidRPr="00F0301E">
        <w:rPr>
          <w:b/>
          <w:bCs/>
          <w:lang w:val="ru-RU"/>
        </w:rPr>
        <w:t xml:space="preserve"> 202</w:t>
      </w:r>
      <w:r w:rsidR="006C2C76" w:rsidRPr="00972022">
        <w:rPr>
          <w:b/>
          <w:bCs/>
          <w:lang w:val="ru-RU"/>
        </w:rPr>
        <w:t>4</w:t>
      </w:r>
      <w:r w:rsidR="00F249D9" w:rsidRPr="00F0301E">
        <w:rPr>
          <w:b/>
          <w:bCs/>
          <w:lang w:val="ru-RU"/>
        </w:rPr>
        <w:t>-</w:t>
      </w:r>
      <w:r w:rsidR="004E4563">
        <w:rPr>
          <w:b/>
          <w:bCs/>
          <w:lang w:val="en-US"/>
        </w:rPr>
        <w:t>S</w:t>
      </w:r>
      <w:r w:rsidR="006C2C76">
        <w:rPr>
          <w:b/>
          <w:bCs/>
          <w:lang w:val="ru-RU"/>
        </w:rPr>
        <w:t>-</w:t>
      </w:r>
      <w:r w:rsidR="004E4563" w:rsidRPr="00800E05">
        <w:rPr>
          <w:b/>
          <w:bCs/>
          <w:lang w:val="ru-RU"/>
        </w:rPr>
        <w:t>1</w:t>
      </w:r>
      <w:r>
        <w:rPr>
          <w:b/>
          <w:bCs/>
        </w:rPr>
        <w:t xml:space="preserve"> </w:t>
      </w:r>
    </w:p>
    <w:p w:rsidR="004F7FD9" w:rsidRDefault="004F7FD9">
      <w:pPr>
        <w:rPr>
          <w:b/>
          <w:bCs/>
        </w:rPr>
      </w:pPr>
      <w:r>
        <w:rPr>
          <w:b/>
          <w:bCs/>
        </w:rPr>
        <w:t xml:space="preserve">Додаток А </w:t>
      </w:r>
    </w:p>
    <w:p w:rsidR="004F7FD9" w:rsidRDefault="004F7FD9" w:rsidP="00D22130">
      <w:pPr>
        <w:ind w:left="2124" w:firstLine="1845"/>
        <w:rPr>
          <w:b/>
          <w:bCs/>
        </w:rPr>
      </w:pPr>
      <w:r>
        <w:rPr>
          <w:b/>
          <w:bCs/>
        </w:rPr>
        <w:t>СПЕЦИФІКАЦІЯ</w:t>
      </w:r>
    </w:p>
    <w:p w:rsidR="004F7FD9" w:rsidRPr="0006672A" w:rsidRDefault="004F7FD9" w:rsidP="0006672A">
      <w:pPr>
        <w:ind w:left="708" w:firstLine="1845"/>
        <w:rPr>
          <w:b/>
          <w:bCs/>
        </w:rPr>
      </w:pPr>
      <w:r>
        <w:rPr>
          <w:b/>
          <w:bCs/>
        </w:rPr>
        <w:t xml:space="preserve">Із надання послуг </w:t>
      </w:r>
      <w:r w:rsidR="00800E05">
        <w:rPr>
          <w:b/>
          <w:color w:val="000000"/>
          <w:lang w:eastAsia="uk-UA" w:bidi="uk-UA"/>
        </w:rPr>
        <w:t>к</w:t>
      </w:r>
      <w:r w:rsidR="00800E05" w:rsidRPr="00800E05">
        <w:rPr>
          <w:b/>
          <w:color w:val="000000"/>
          <w:lang w:eastAsia="uk-UA" w:bidi="uk-UA"/>
        </w:rPr>
        <w:t>онсультанта з питань життєдіяльност</w:t>
      </w:r>
      <w:r w:rsidR="001B0E05">
        <w:rPr>
          <w:b/>
          <w:color w:val="000000"/>
          <w:lang w:eastAsia="uk-UA" w:bidi="uk-UA"/>
        </w:rPr>
        <w:t>і</w:t>
      </w:r>
    </w:p>
    <w:p w:rsidR="004F7FD9" w:rsidRPr="0006672A" w:rsidRDefault="00800E05">
      <w:pPr>
        <w:rPr>
          <w:b/>
          <w:bCs/>
        </w:rPr>
      </w:pPr>
      <w:r>
        <w:rPr>
          <w:b/>
          <w:bCs/>
        </w:rPr>
        <w:t xml:space="preserve">Перелік послуг </w:t>
      </w:r>
    </w:p>
    <w:p w:rsidR="00800E05" w:rsidRPr="00800E05" w:rsidRDefault="00800E05" w:rsidP="00800E05">
      <w:pPr>
        <w:pStyle w:val="1"/>
        <w:numPr>
          <w:ilvl w:val="1"/>
          <w:numId w:val="45"/>
        </w:numPr>
        <w:shd w:val="clear" w:color="auto" w:fill="auto"/>
        <w:tabs>
          <w:tab w:val="left" w:pos="725"/>
        </w:tabs>
        <w:spacing w:line="33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bidi="uk-UA"/>
        </w:rPr>
        <w:t>Отримування, узагальнювання, аналіз та надавання інформації / даних</w:t>
      </w:r>
      <w:r w:rsidRPr="00800E05">
        <w:rPr>
          <w:rFonts w:asciiTheme="minorHAnsi" w:hAnsiTheme="minorHAnsi" w:cstheme="minorHAnsi"/>
          <w:color w:val="000000"/>
          <w:sz w:val="22"/>
          <w:szCs w:val="22"/>
          <w:lang w:bidi="uk-UA"/>
        </w:rPr>
        <w:t xml:space="preserve"> про засоби до існування, продовольчу безпеку та діяльність, пов'язану з </w:t>
      </w:r>
      <w:r w:rsidR="008E42A1">
        <w:rPr>
          <w:rFonts w:asciiTheme="minorHAnsi" w:hAnsiTheme="minorHAnsi" w:cstheme="minorHAnsi"/>
          <w:color w:val="000000"/>
          <w:sz w:val="22"/>
          <w:szCs w:val="22"/>
          <w:lang w:bidi="uk-UA"/>
        </w:rPr>
        <w:t>реалізацією проекту з питань життєдіяльності</w:t>
      </w:r>
    </w:p>
    <w:p w:rsidR="00800E05" w:rsidRPr="00800E05" w:rsidRDefault="00800E05" w:rsidP="00800E05">
      <w:pPr>
        <w:pStyle w:val="1"/>
        <w:numPr>
          <w:ilvl w:val="1"/>
          <w:numId w:val="45"/>
        </w:numPr>
        <w:shd w:val="clear" w:color="auto" w:fill="auto"/>
        <w:tabs>
          <w:tab w:val="left" w:pos="589"/>
        </w:tabs>
        <w:spacing w:line="33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bidi="uk-UA"/>
        </w:rPr>
        <w:t>Консультування, інформування та допомога</w:t>
      </w:r>
      <w:r w:rsidRPr="00800E05">
        <w:rPr>
          <w:rFonts w:asciiTheme="minorHAnsi" w:hAnsiTheme="minorHAnsi" w:cstheme="minorHAnsi"/>
          <w:color w:val="000000"/>
          <w:sz w:val="22"/>
          <w:szCs w:val="22"/>
          <w:lang w:bidi="uk-UA"/>
        </w:rPr>
        <w:t xml:space="preserve"> в написанні проектів для отримання грантів для </w:t>
      </w:r>
      <w:r w:rsidR="008E42A1">
        <w:rPr>
          <w:rFonts w:asciiTheme="minorHAnsi" w:hAnsiTheme="minorHAnsi" w:cstheme="minorHAnsi"/>
          <w:color w:val="000000"/>
          <w:sz w:val="22"/>
          <w:szCs w:val="22"/>
          <w:lang w:bidi="uk-UA"/>
        </w:rPr>
        <w:t>реалізації проекту</w:t>
      </w:r>
      <w:r w:rsidRPr="00800E05">
        <w:rPr>
          <w:rFonts w:asciiTheme="minorHAnsi" w:hAnsiTheme="minorHAnsi" w:cstheme="minorHAnsi"/>
          <w:color w:val="000000"/>
          <w:sz w:val="22"/>
          <w:szCs w:val="22"/>
          <w:lang w:bidi="uk-UA"/>
        </w:rPr>
        <w:t>.</w:t>
      </w:r>
    </w:p>
    <w:p w:rsidR="00800E05" w:rsidRPr="00800E05" w:rsidRDefault="00972022" w:rsidP="00800E05">
      <w:pPr>
        <w:pStyle w:val="1"/>
        <w:numPr>
          <w:ilvl w:val="1"/>
          <w:numId w:val="45"/>
        </w:numPr>
        <w:shd w:val="clear" w:color="auto" w:fill="auto"/>
        <w:tabs>
          <w:tab w:val="left" w:pos="589"/>
        </w:tabs>
        <w:spacing w:line="33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bidi="uk-UA"/>
        </w:rPr>
        <w:t>Складання</w:t>
      </w:r>
      <w:r w:rsidR="00800E05">
        <w:rPr>
          <w:rFonts w:asciiTheme="minorHAnsi" w:hAnsiTheme="minorHAnsi" w:cstheme="minorHAnsi"/>
          <w:color w:val="000000"/>
          <w:sz w:val="22"/>
          <w:szCs w:val="22"/>
          <w:lang w:bidi="uk-UA"/>
        </w:rPr>
        <w:t xml:space="preserve"> документації</w:t>
      </w:r>
      <w:r w:rsidR="00800E05" w:rsidRPr="00800E05">
        <w:rPr>
          <w:rFonts w:asciiTheme="minorHAnsi" w:hAnsiTheme="minorHAnsi" w:cstheme="minorHAnsi"/>
          <w:color w:val="000000"/>
          <w:sz w:val="22"/>
          <w:szCs w:val="22"/>
          <w:lang w:bidi="uk-UA"/>
        </w:rPr>
        <w:t xml:space="preserve"> для презентації проектів.</w:t>
      </w:r>
    </w:p>
    <w:p w:rsidR="00800E05" w:rsidRPr="00800E05" w:rsidRDefault="00800E05" w:rsidP="00800E05">
      <w:pPr>
        <w:pStyle w:val="1"/>
        <w:numPr>
          <w:ilvl w:val="1"/>
          <w:numId w:val="45"/>
        </w:numPr>
        <w:shd w:val="clear" w:color="auto" w:fill="auto"/>
        <w:tabs>
          <w:tab w:val="left" w:pos="594"/>
        </w:tabs>
        <w:spacing w:line="33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bidi="uk-UA"/>
        </w:rPr>
        <w:t>У</w:t>
      </w:r>
      <w:r w:rsidRPr="00800E05">
        <w:rPr>
          <w:rFonts w:asciiTheme="minorHAnsi" w:hAnsiTheme="minorHAnsi" w:cstheme="minorHAnsi"/>
          <w:color w:val="000000"/>
          <w:sz w:val="22"/>
          <w:szCs w:val="22"/>
          <w:lang w:bidi="uk-UA"/>
        </w:rPr>
        <w:t xml:space="preserve">часть у процедурах презентації проектів для підтримки </w:t>
      </w:r>
      <w:r w:rsidR="008E42A1">
        <w:rPr>
          <w:rFonts w:asciiTheme="minorHAnsi" w:hAnsiTheme="minorHAnsi" w:cstheme="minorHAnsi"/>
          <w:color w:val="000000"/>
          <w:sz w:val="22"/>
          <w:szCs w:val="22"/>
          <w:lang w:bidi="uk-UA"/>
        </w:rPr>
        <w:t>реалізації проекту</w:t>
      </w:r>
      <w:r w:rsidRPr="00800E05">
        <w:rPr>
          <w:rFonts w:asciiTheme="minorHAnsi" w:hAnsiTheme="minorHAnsi" w:cstheme="minorHAnsi"/>
          <w:color w:val="000000"/>
          <w:sz w:val="22"/>
          <w:szCs w:val="22"/>
          <w:lang w:bidi="uk-UA"/>
        </w:rPr>
        <w:t xml:space="preserve"> та слідкува</w:t>
      </w:r>
      <w:r>
        <w:rPr>
          <w:rFonts w:asciiTheme="minorHAnsi" w:hAnsiTheme="minorHAnsi" w:cstheme="minorHAnsi"/>
          <w:color w:val="000000"/>
          <w:sz w:val="22"/>
          <w:szCs w:val="22"/>
          <w:lang w:bidi="uk-UA"/>
        </w:rPr>
        <w:t>ння</w:t>
      </w:r>
      <w:r w:rsidRPr="00800E05">
        <w:rPr>
          <w:rFonts w:asciiTheme="minorHAnsi" w:hAnsiTheme="minorHAnsi" w:cstheme="minorHAnsi"/>
          <w:color w:val="000000"/>
          <w:sz w:val="22"/>
          <w:szCs w:val="22"/>
          <w:lang w:bidi="uk-UA"/>
        </w:rPr>
        <w:t xml:space="preserve"> за їх узгодженням та наданням коштів.</w:t>
      </w:r>
    </w:p>
    <w:p w:rsidR="00800E05" w:rsidRPr="00800E05" w:rsidRDefault="008E42A1" w:rsidP="00800E05">
      <w:pPr>
        <w:pStyle w:val="1"/>
        <w:numPr>
          <w:ilvl w:val="1"/>
          <w:numId w:val="45"/>
        </w:numPr>
        <w:shd w:val="clear" w:color="auto" w:fill="auto"/>
        <w:tabs>
          <w:tab w:val="left" w:pos="589"/>
        </w:tabs>
        <w:spacing w:line="33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bidi="uk-UA"/>
        </w:rPr>
        <w:t xml:space="preserve">Участь в </w:t>
      </w:r>
      <w:r w:rsidR="00112450">
        <w:rPr>
          <w:rFonts w:asciiTheme="minorHAnsi" w:hAnsiTheme="minorHAnsi" w:cstheme="minorHAnsi"/>
          <w:color w:val="000000"/>
          <w:sz w:val="22"/>
          <w:szCs w:val="22"/>
          <w:lang w:bidi="uk-UA"/>
        </w:rPr>
        <w:t xml:space="preserve"> координа</w:t>
      </w:r>
      <w:r>
        <w:rPr>
          <w:rFonts w:asciiTheme="minorHAnsi" w:hAnsiTheme="minorHAnsi" w:cstheme="minorHAnsi"/>
          <w:color w:val="000000"/>
          <w:sz w:val="22"/>
          <w:szCs w:val="22"/>
          <w:lang w:bidi="uk-UA"/>
        </w:rPr>
        <w:t>ції</w:t>
      </w:r>
      <w:r w:rsidR="00112450">
        <w:rPr>
          <w:rFonts w:asciiTheme="minorHAnsi" w:hAnsiTheme="minorHAnsi" w:cstheme="minorHAnsi"/>
          <w:color w:val="000000"/>
          <w:sz w:val="22"/>
          <w:szCs w:val="22"/>
          <w:lang w:bidi="uk-UA"/>
        </w:rPr>
        <w:t xml:space="preserve"> </w:t>
      </w:r>
      <w:r w:rsidR="00800E05" w:rsidRPr="00800E05">
        <w:rPr>
          <w:rFonts w:asciiTheme="minorHAnsi" w:hAnsiTheme="minorHAnsi" w:cstheme="minorHAnsi"/>
          <w:color w:val="000000"/>
          <w:sz w:val="22"/>
          <w:szCs w:val="22"/>
          <w:lang w:bidi="uk-UA"/>
        </w:rPr>
        <w:t xml:space="preserve"> по реалізації проектів у сферах реалізації, залучаючи широкий зв'язок з різними організаційними підрозділами та зовнішніми сторонами для ініціювання запитів, отримання необхідних дозволів, обробки та подальших дій щодо адміністративних дій тощо.</w:t>
      </w:r>
    </w:p>
    <w:p w:rsidR="00800E05" w:rsidRPr="00800E05" w:rsidRDefault="00112450" w:rsidP="00800E05">
      <w:pPr>
        <w:pStyle w:val="1"/>
        <w:numPr>
          <w:ilvl w:val="1"/>
          <w:numId w:val="45"/>
        </w:numPr>
        <w:shd w:val="clear" w:color="auto" w:fill="auto"/>
        <w:tabs>
          <w:tab w:val="left" w:pos="589"/>
        </w:tabs>
        <w:spacing w:line="33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bidi="uk-UA"/>
        </w:rPr>
        <w:t>Складання звітів</w:t>
      </w:r>
      <w:r w:rsidR="00800E05" w:rsidRPr="00800E05">
        <w:rPr>
          <w:rFonts w:asciiTheme="minorHAnsi" w:hAnsiTheme="minorHAnsi" w:cstheme="minorHAnsi"/>
          <w:color w:val="000000"/>
          <w:sz w:val="22"/>
          <w:szCs w:val="22"/>
          <w:lang w:bidi="uk-UA"/>
        </w:rPr>
        <w:t xml:space="preserve"> про стан</w:t>
      </w:r>
      <w:r w:rsidR="008E42A1">
        <w:rPr>
          <w:rFonts w:asciiTheme="minorHAnsi" w:hAnsiTheme="minorHAnsi" w:cstheme="minorHAnsi"/>
          <w:color w:val="000000"/>
          <w:sz w:val="22"/>
          <w:szCs w:val="22"/>
          <w:lang w:bidi="uk-UA"/>
        </w:rPr>
        <w:t xml:space="preserve"> реалізації проекту з питань життєдіяльності</w:t>
      </w:r>
      <w:r w:rsidR="00800E05" w:rsidRPr="00800E05">
        <w:rPr>
          <w:rFonts w:asciiTheme="minorHAnsi" w:hAnsiTheme="minorHAnsi" w:cstheme="minorHAnsi"/>
          <w:color w:val="000000"/>
          <w:sz w:val="22"/>
          <w:szCs w:val="22"/>
          <w:lang w:bidi="uk-UA"/>
        </w:rPr>
        <w:t>, вияв</w:t>
      </w:r>
      <w:r>
        <w:rPr>
          <w:rFonts w:asciiTheme="minorHAnsi" w:hAnsiTheme="minorHAnsi" w:cstheme="minorHAnsi"/>
          <w:color w:val="000000"/>
          <w:sz w:val="22"/>
          <w:szCs w:val="22"/>
          <w:lang w:bidi="uk-UA"/>
        </w:rPr>
        <w:t>ляючи недоліки в здачі, інформування</w:t>
      </w:r>
      <w:r w:rsidR="00800E05" w:rsidRPr="00800E05">
        <w:rPr>
          <w:rFonts w:asciiTheme="minorHAnsi" w:hAnsiTheme="minorHAnsi" w:cstheme="minorHAnsi"/>
          <w:color w:val="000000"/>
          <w:sz w:val="22"/>
          <w:szCs w:val="22"/>
          <w:lang w:bidi="uk-UA"/>
        </w:rPr>
        <w:t xml:space="preserve"> керівника</w:t>
      </w:r>
      <w:r>
        <w:rPr>
          <w:rFonts w:asciiTheme="minorHAnsi" w:hAnsiTheme="minorHAnsi" w:cstheme="minorHAnsi"/>
          <w:color w:val="000000"/>
          <w:sz w:val="22"/>
          <w:szCs w:val="22"/>
          <w:lang w:bidi="uk-UA"/>
        </w:rPr>
        <w:t>.</w:t>
      </w:r>
    </w:p>
    <w:p w:rsidR="00800E05" w:rsidRPr="00800E05" w:rsidRDefault="00112450" w:rsidP="00800E05">
      <w:pPr>
        <w:pStyle w:val="1"/>
        <w:numPr>
          <w:ilvl w:val="1"/>
          <w:numId w:val="45"/>
        </w:numPr>
        <w:shd w:val="clear" w:color="auto" w:fill="auto"/>
        <w:tabs>
          <w:tab w:val="left" w:pos="589"/>
        </w:tabs>
        <w:spacing w:after="400" w:line="33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bidi="uk-UA"/>
        </w:rPr>
        <w:t xml:space="preserve">Організація </w:t>
      </w:r>
      <w:r w:rsidR="004D44F1">
        <w:rPr>
          <w:rFonts w:asciiTheme="minorHAnsi" w:hAnsiTheme="minorHAnsi" w:cstheme="minorHAnsi"/>
          <w:color w:val="000000"/>
          <w:sz w:val="22"/>
          <w:szCs w:val="22"/>
          <w:lang w:bidi="uk-UA"/>
        </w:rPr>
        <w:t>зустрічей</w:t>
      </w:r>
      <w:r>
        <w:rPr>
          <w:rFonts w:asciiTheme="minorHAnsi" w:hAnsiTheme="minorHAnsi" w:cstheme="minorHAnsi"/>
          <w:color w:val="000000"/>
          <w:sz w:val="22"/>
          <w:szCs w:val="22"/>
          <w:lang w:bidi="uk-UA"/>
        </w:rPr>
        <w:t xml:space="preserve">,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bidi="uk-UA"/>
        </w:rPr>
        <w:t>воркшопів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bidi="uk-UA"/>
        </w:rPr>
        <w:t xml:space="preserve"> та тренінгів</w:t>
      </w:r>
      <w:r w:rsidR="00800E05" w:rsidRPr="00800E05">
        <w:rPr>
          <w:rFonts w:asciiTheme="minorHAnsi" w:hAnsiTheme="minorHAnsi" w:cstheme="minorHAnsi"/>
          <w:color w:val="000000"/>
          <w:sz w:val="22"/>
          <w:szCs w:val="22"/>
          <w:lang w:bidi="uk-UA"/>
        </w:rPr>
        <w:t xml:space="preserve"> для підтримки </w:t>
      </w:r>
      <w:r w:rsidR="00192202">
        <w:rPr>
          <w:rFonts w:asciiTheme="minorHAnsi" w:hAnsiTheme="minorHAnsi" w:cstheme="minorHAnsi"/>
          <w:color w:val="000000"/>
          <w:sz w:val="22"/>
          <w:szCs w:val="22"/>
          <w:lang w:bidi="uk-UA"/>
        </w:rPr>
        <w:t>проекту</w:t>
      </w:r>
      <w:r w:rsidR="00800E05" w:rsidRPr="00800E05">
        <w:rPr>
          <w:rFonts w:asciiTheme="minorHAnsi" w:hAnsiTheme="minorHAnsi" w:cstheme="minorHAnsi"/>
          <w:color w:val="000000"/>
          <w:sz w:val="22"/>
          <w:szCs w:val="22"/>
          <w:lang w:bidi="uk-UA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  <w:lang w:bidi="uk-UA"/>
        </w:rPr>
        <w:t xml:space="preserve"> У</w:t>
      </w:r>
      <w:r w:rsidR="00800E05" w:rsidRPr="00800E05">
        <w:rPr>
          <w:rFonts w:asciiTheme="minorHAnsi" w:hAnsiTheme="minorHAnsi" w:cstheme="minorHAnsi"/>
          <w:color w:val="000000"/>
          <w:sz w:val="22"/>
          <w:szCs w:val="22"/>
          <w:lang w:bidi="uk-UA"/>
        </w:rPr>
        <w:t>часть у нарадах і конференціях.</w:t>
      </w:r>
    </w:p>
    <w:p w:rsidR="00800E05" w:rsidRPr="008E42A1" w:rsidRDefault="00112450" w:rsidP="00800E05">
      <w:pPr>
        <w:pStyle w:val="1"/>
        <w:numPr>
          <w:ilvl w:val="1"/>
          <w:numId w:val="45"/>
        </w:numPr>
        <w:shd w:val="clear" w:color="auto" w:fill="auto"/>
        <w:tabs>
          <w:tab w:val="left" w:pos="1873"/>
        </w:tabs>
        <w:spacing w:line="33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bidi="uk-UA"/>
        </w:rPr>
        <w:t xml:space="preserve">Допомога </w:t>
      </w:r>
      <w:r w:rsidR="00800E05" w:rsidRPr="00800E05">
        <w:rPr>
          <w:rFonts w:asciiTheme="minorHAnsi" w:hAnsiTheme="minorHAnsi" w:cstheme="minorHAnsi"/>
          <w:color w:val="000000"/>
          <w:sz w:val="22"/>
          <w:szCs w:val="22"/>
          <w:lang w:bidi="uk-UA"/>
        </w:rPr>
        <w:t xml:space="preserve"> в координації </w:t>
      </w:r>
      <w:r w:rsidR="008E42A1">
        <w:rPr>
          <w:rFonts w:asciiTheme="minorHAnsi" w:hAnsiTheme="minorHAnsi" w:cstheme="minorHAnsi"/>
          <w:color w:val="000000"/>
          <w:sz w:val="22"/>
          <w:szCs w:val="22"/>
          <w:lang w:bidi="uk-UA"/>
        </w:rPr>
        <w:t xml:space="preserve">реалізації </w:t>
      </w:r>
      <w:r w:rsidR="00800E05" w:rsidRPr="00800E05">
        <w:rPr>
          <w:rFonts w:asciiTheme="minorHAnsi" w:hAnsiTheme="minorHAnsi" w:cstheme="minorHAnsi"/>
          <w:color w:val="000000"/>
          <w:sz w:val="22"/>
          <w:szCs w:val="22"/>
          <w:lang w:bidi="uk-UA"/>
        </w:rPr>
        <w:t>заходів з місцевими органами влади, партнерами, агенціями Організації Об'єднаних Націй, міжурядовими та неурядовими організаціями, донорами та іншими зацікавленими сторонами, що мають відношення до проекту.</w:t>
      </w:r>
    </w:p>
    <w:p w:rsidR="008E42A1" w:rsidRPr="00800E05" w:rsidRDefault="008E42A1" w:rsidP="008E42A1">
      <w:pPr>
        <w:pStyle w:val="1"/>
        <w:numPr>
          <w:ilvl w:val="1"/>
          <w:numId w:val="45"/>
        </w:numPr>
        <w:shd w:val="clear" w:color="auto" w:fill="auto"/>
        <w:tabs>
          <w:tab w:val="left" w:pos="725"/>
        </w:tabs>
        <w:spacing w:line="33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bidi="uk-UA"/>
        </w:rPr>
        <w:t xml:space="preserve">Допомога </w:t>
      </w:r>
      <w:r w:rsidRPr="00800E05">
        <w:rPr>
          <w:rFonts w:asciiTheme="minorHAnsi" w:hAnsiTheme="minorHAnsi" w:cstheme="minorHAnsi"/>
          <w:color w:val="000000"/>
          <w:sz w:val="22"/>
          <w:szCs w:val="22"/>
          <w:lang w:bidi="uk-UA"/>
        </w:rPr>
        <w:t>в реалізації та моніторингу проектної діяльності.</w:t>
      </w:r>
    </w:p>
    <w:p w:rsidR="00800E05" w:rsidRPr="00800E05" w:rsidRDefault="00112450" w:rsidP="00800E05">
      <w:pPr>
        <w:pStyle w:val="1"/>
        <w:numPr>
          <w:ilvl w:val="1"/>
          <w:numId w:val="45"/>
        </w:numPr>
        <w:shd w:val="clear" w:color="auto" w:fill="auto"/>
        <w:tabs>
          <w:tab w:val="left" w:pos="1873"/>
        </w:tabs>
        <w:spacing w:after="140" w:line="33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bidi="uk-UA"/>
        </w:rPr>
        <w:t>Виконання</w:t>
      </w:r>
      <w:r w:rsidR="00800E05" w:rsidRPr="00800E05">
        <w:rPr>
          <w:rFonts w:asciiTheme="minorHAnsi" w:hAnsiTheme="minorHAnsi" w:cstheme="minorHAnsi"/>
          <w:color w:val="000000"/>
          <w:sz w:val="22"/>
          <w:szCs w:val="22"/>
          <w:lang w:bidi="uk-UA"/>
        </w:rPr>
        <w:t xml:space="preserve"> </w:t>
      </w:r>
      <w:r w:rsidR="006C2C76" w:rsidRPr="00800E05">
        <w:rPr>
          <w:rFonts w:asciiTheme="minorHAnsi" w:hAnsiTheme="minorHAnsi" w:cstheme="minorHAnsi"/>
          <w:color w:val="000000"/>
          <w:sz w:val="22"/>
          <w:szCs w:val="22"/>
          <w:lang w:bidi="uk-UA"/>
        </w:rPr>
        <w:t>інши</w:t>
      </w:r>
      <w:r w:rsidR="006C2C76">
        <w:rPr>
          <w:rFonts w:asciiTheme="minorHAnsi" w:hAnsiTheme="minorHAnsi" w:cstheme="minorHAnsi"/>
          <w:color w:val="000000"/>
          <w:sz w:val="22"/>
          <w:szCs w:val="22"/>
          <w:lang w:bidi="uk-UA"/>
        </w:rPr>
        <w:t>х</w:t>
      </w:r>
      <w:r w:rsidR="008E42A1">
        <w:rPr>
          <w:rFonts w:asciiTheme="minorHAnsi" w:hAnsiTheme="minorHAnsi" w:cstheme="minorHAnsi"/>
          <w:color w:val="000000"/>
          <w:sz w:val="22"/>
          <w:szCs w:val="22"/>
          <w:lang w:bidi="uk-UA"/>
        </w:rPr>
        <w:t>,</w:t>
      </w:r>
      <w:r w:rsidR="00800E05" w:rsidRPr="00800E05">
        <w:rPr>
          <w:rFonts w:asciiTheme="minorHAnsi" w:hAnsiTheme="minorHAnsi" w:cstheme="minorHAnsi"/>
          <w:color w:val="000000"/>
          <w:sz w:val="22"/>
          <w:szCs w:val="22"/>
          <w:lang w:bidi="uk-UA"/>
        </w:rPr>
        <w:t xml:space="preserve"> по</w:t>
      </w:r>
      <w:r w:rsidR="008E42A1">
        <w:rPr>
          <w:rFonts w:asciiTheme="minorHAnsi" w:hAnsiTheme="minorHAnsi" w:cstheme="minorHAnsi"/>
          <w:color w:val="000000"/>
          <w:sz w:val="22"/>
          <w:szCs w:val="22"/>
          <w:lang w:bidi="uk-UA"/>
        </w:rPr>
        <w:t xml:space="preserve">в'язані з цим проектом, обов'язків за призначенням </w:t>
      </w:r>
      <w:r w:rsidR="004D44F1">
        <w:rPr>
          <w:rFonts w:asciiTheme="minorHAnsi" w:hAnsiTheme="minorHAnsi" w:cstheme="minorHAnsi"/>
          <w:color w:val="000000"/>
          <w:sz w:val="22"/>
          <w:szCs w:val="22"/>
          <w:lang w:bidi="uk-UA"/>
        </w:rPr>
        <w:t>(</w:t>
      </w:r>
      <w:r w:rsidR="008E42A1">
        <w:rPr>
          <w:rFonts w:asciiTheme="minorHAnsi" w:hAnsiTheme="minorHAnsi" w:cstheme="minorHAnsi"/>
          <w:color w:val="000000"/>
          <w:sz w:val="22"/>
          <w:szCs w:val="22"/>
          <w:lang w:bidi="uk-UA"/>
        </w:rPr>
        <w:t>за вимогою Замовника</w:t>
      </w:r>
      <w:r w:rsidR="004D44F1">
        <w:rPr>
          <w:rFonts w:asciiTheme="minorHAnsi" w:hAnsiTheme="minorHAnsi" w:cstheme="minorHAnsi"/>
          <w:color w:val="000000"/>
          <w:sz w:val="22"/>
          <w:szCs w:val="22"/>
          <w:lang w:bidi="uk-UA"/>
        </w:rPr>
        <w:t>)</w:t>
      </w:r>
    </w:p>
    <w:p w:rsidR="004F7FD9" w:rsidRPr="000F2701" w:rsidRDefault="004F7FD9" w:rsidP="000F2701">
      <w:pPr>
        <w:tabs>
          <w:tab w:val="left" w:pos="567"/>
          <w:tab w:val="left" w:pos="709"/>
        </w:tabs>
        <w:rPr>
          <w:b/>
          <w:bCs/>
        </w:rPr>
      </w:pPr>
      <w:r>
        <w:rPr>
          <w:b/>
          <w:bCs/>
        </w:rPr>
        <w:t>Вимоги до кваліфікації :</w:t>
      </w:r>
    </w:p>
    <w:p w:rsidR="000F2701" w:rsidRPr="004617AF" w:rsidRDefault="000F2701" w:rsidP="000F2701">
      <w:pPr>
        <w:numPr>
          <w:ilvl w:val="0"/>
          <w:numId w:val="36"/>
        </w:numPr>
      </w:pPr>
      <w:r w:rsidRPr="004617AF">
        <w:rPr>
          <w:b/>
          <w:bCs/>
        </w:rPr>
        <w:t>Освіта та Досвід:</w:t>
      </w:r>
    </w:p>
    <w:p w:rsidR="001970FB" w:rsidRDefault="001970FB" w:rsidP="00A702D7">
      <w:pPr>
        <w:numPr>
          <w:ilvl w:val="1"/>
          <w:numId w:val="36"/>
        </w:numPr>
      </w:pPr>
      <w:r>
        <w:lastRenderedPageBreak/>
        <w:t>В</w:t>
      </w:r>
      <w:r w:rsidR="000F2701">
        <w:t>ища освіта</w:t>
      </w:r>
      <w:r>
        <w:t xml:space="preserve"> – обов’язково</w:t>
      </w:r>
    </w:p>
    <w:p w:rsidR="000F2701" w:rsidRDefault="00112450" w:rsidP="00A702D7">
      <w:pPr>
        <w:numPr>
          <w:ilvl w:val="1"/>
          <w:numId w:val="36"/>
        </w:numPr>
      </w:pPr>
      <w:r>
        <w:t xml:space="preserve">Досвід в області комплексної </w:t>
      </w:r>
      <w:r w:rsidR="000F2701">
        <w:t xml:space="preserve"> </w:t>
      </w:r>
      <w:r>
        <w:t>реалізації проектів</w:t>
      </w:r>
      <w:r w:rsidR="000F2701">
        <w:t>.</w:t>
      </w:r>
    </w:p>
    <w:p w:rsidR="000F2701" w:rsidRPr="004617AF" w:rsidRDefault="000F2701" w:rsidP="000F2701">
      <w:pPr>
        <w:numPr>
          <w:ilvl w:val="0"/>
          <w:numId w:val="36"/>
        </w:numPr>
      </w:pPr>
      <w:r w:rsidRPr="004617AF">
        <w:rPr>
          <w:b/>
          <w:bCs/>
        </w:rPr>
        <w:t>Лідерські та Організаційні Навички:</w:t>
      </w:r>
    </w:p>
    <w:p w:rsidR="00112450" w:rsidRDefault="000F2701" w:rsidP="00C57519">
      <w:pPr>
        <w:numPr>
          <w:ilvl w:val="1"/>
          <w:numId w:val="36"/>
        </w:numPr>
      </w:pPr>
      <w:r w:rsidRPr="004617AF">
        <w:t>Висок</w:t>
      </w:r>
      <w:bookmarkStart w:id="0" w:name="_GoBack"/>
      <w:bookmarkEnd w:id="0"/>
      <w:r w:rsidRPr="004617AF">
        <w:t xml:space="preserve">і лідерські якості та здатність керувати командою </w:t>
      </w:r>
    </w:p>
    <w:p w:rsidR="00112450" w:rsidRDefault="00112450" w:rsidP="00C57519">
      <w:pPr>
        <w:numPr>
          <w:ilvl w:val="1"/>
          <w:numId w:val="36"/>
        </w:numPr>
      </w:pPr>
      <w:r>
        <w:t>Робота в команді</w:t>
      </w:r>
    </w:p>
    <w:p w:rsidR="000F2701" w:rsidRPr="004617AF" w:rsidRDefault="000F2701" w:rsidP="000F2701">
      <w:pPr>
        <w:numPr>
          <w:ilvl w:val="0"/>
          <w:numId w:val="36"/>
        </w:numPr>
      </w:pPr>
      <w:r w:rsidRPr="004617AF">
        <w:rPr>
          <w:b/>
          <w:bCs/>
        </w:rPr>
        <w:t>Рішучість та Креативність:</w:t>
      </w:r>
    </w:p>
    <w:p w:rsidR="000F2701" w:rsidRPr="004617AF" w:rsidRDefault="000F2701" w:rsidP="000F2701">
      <w:pPr>
        <w:numPr>
          <w:ilvl w:val="1"/>
          <w:numId w:val="36"/>
        </w:numPr>
      </w:pPr>
      <w:r w:rsidRPr="004617AF">
        <w:t xml:space="preserve">Креативність у вирішенні проблем та впровадженні нових підходів </w:t>
      </w:r>
    </w:p>
    <w:p w:rsidR="000F2701" w:rsidRPr="004617AF" w:rsidRDefault="000F2701" w:rsidP="000F2701">
      <w:pPr>
        <w:numPr>
          <w:ilvl w:val="0"/>
          <w:numId w:val="36"/>
        </w:numPr>
      </w:pPr>
      <w:r w:rsidRPr="004617AF">
        <w:rPr>
          <w:b/>
          <w:bCs/>
        </w:rPr>
        <w:t>Відповідальність та Систематичність:</w:t>
      </w:r>
    </w:p>
    <w:p w:rsidR="000F2701" w:rsidRPr="004617AF" w:rsidRDefault="000F2701" w:rsidP="000F2701">
      <w:pPr>
        <w:numPr>
          <w:ilvl w:val="1"/>
          <w:numId w:val="36"/>
        </w:numPr>
      </w:pPr>
      <w:r w:rsidRPr="004617AF">
        <w:t>Високий рівень відповідальності за результати роботи своєї команди та власних рішень.</w:t>
      </w:r>
    </w:p>
    <w:p w:rsidR="000F2701" w:rsidRPr="004617AF" w:rsidRDefault="000F2701" w:rsidP="000F2701">
      <w:pPr>
        <w:numPr>
          <w:ilvl w:val="1"/>
          <w:numId w:val="36"/>
        </w:numPr>
      </w:pPr>
      <w:r w:rsidRPr="004617AF">
        <w:t>Систематичний підхід до планування та виконання робіт, здатність керувати</w:t>
      </w:r>
      <w:r w:rsidR="00112450">
        <w:t xml:space="preserve"> та виконувати  багато завданням</w:t>
      </w:r>
      <w:r w:rsidRPr="004617AF">
        <w:t xml:space="preserve"> одночасно.</w:t>
      </w:r>
    </w:p>
    <w:p w:rsidR="000F2701" w:rsidRPr="004617AF" w:rsidRDefault="000F2701" w:rsidP="000F2701">
      <w:pPr>
        <w:numPr>
          <w:ilvl w:val="0"/>
          <w:numId w:val="36"/>
        </w:numPr>
      </w:pPr>
      <w:r w:rsidRPr="004617AF">
        <w:rPr>
          <w:b/>
          <w:bCs/>
        </w:rPr>
        <w:t>Орієнтованість на Результат:</w:t>
      </w:r>
    </w:p>
    <w:p w:rsidR="000F2701" w:rsidRPr="004617AF" w:rsidRDefault="000F2701" w:rsidP="000F2701">
      <w:pPr>
        <w:numPr>
          <w:ilvl w:val="1"/>
          <w:numId w:val="36"/>
        </w:numPr>
      </w:pPr>
      <w:r w:rsidRPr="004617AF">
        <w:t xml:space="preserve">Спрямованість на досягнення конкретних цілей та покращення якості </w:t>
      </w:r>
      <w:r w:rsidR="001B0E05">
        <w:t>консультування</w:t>
      </w:r>
      <w:r w:rsidRPr="004617AF">
        <w:t>.</w:t>
      </w:r>
    </w:p>
    <w:p w:rsidR="004F7FD9" w:rsidRPr="00422042" w:rsidRDefault="000F2701" w:rsidP="00450105">
      <w:pPr>
        <w:numPr>
          <w:ilvl w:val="1"/>
          <w:numId w:val="36"/>
        </w:numPr>
      </w:pPr>
      <w:r w:rsidRPr="004617AF">
        <w:t>Здатність аналізувати результати та вносити корективи для досягнення кращих показників.</w:t>
      </w:r>
    </w:p>
    <w:p w:rsidR="004F7FD9" w:rsidRDefault="004F7FD9">
      <w:pPr>
        <w:rPr>
          <w:b/>
          <w:bCs/>
        </w:rPr>
      </w:pPr>
      <w:r>
        <w:rPr>
          <w:b/>
          <w:bCs/>
        </w:rPr>
        <w:t>Умови:</w:t>
      </w:r>
    </w:p>
    <w:p w:rsidR="004F7FD9" w:rsidRDefault="004F7FD9">
      <w:r>
        <w:t xml:space="preserve">Між МФОЗНС «Регіон Карпат» та </w:t>
      </w:r>
      <w:r w:rsidR="00112450">
        <w:t>Переможцем</w:t>
      </w:r>
      <w:r>
        <w:t xml:space="preserve"> буде підписано угоду про надання послуг, в якому буде детально викладено умови співпраці. </w:t>
      </w:r>
    </w:p>
    <w:p w:rsidR="004F7FD9" w:rsidRDefault="004077F0">
      <w:pPr>
        <w:rPr>
          <w:b/>
          <w:bCs/>
        </w:rPr>
      </w:pPr>
      <w:r>
        <w:rPr>
          <w:b/>
          <w:bCs/>
        </w:rPr>
        <w:t xml:space="preserve">Вимоги до </w:t>
      </w:r>
      <w:r w:rsidR="004F7FD9">
        <w:rPr>
          <w:b/>
          <w:bCs/>
        </w:rPr>
        <w:t>учасника тендеру:</w:t>
      </w:r>
    </w:p>
    <w:p w:rsidR="004F7FD9" w:rsidRDefault="00257FAF">
      <w:pPr>
        <w:numPr>
          <w:ilvl w:val="0"/>
          <w:numId w:val="21"/>
        </w:numPr>
        <w:tabs>
          <w:tab w:val="left" w:pos="720"/>
        </w:tabs>
      </w:pPr>
      <w:r w:rsidRPr="00AB1115">
        <w:t>Обов’язкова реєстрація фізичною особ</w:t>
      </w:r>
      <w:r>
        <w:t>ою-підприємцем 3 групи, юридична особа на загальних підставах або фізична особа з відповідним досвідом та освітою.</w:t>
      </w:r>
    </w:p>
    <w:p w:rsidR="004F7FD9" w:rsidRDefault="004F7FD9">
      <w:pPr>
        <w:numPr>
          <w:ilvl w:val="0"/>
          <w:numId w:val="21"/>
        </w:numPr>
        <w:tabs>
          <w:tab w:val="left" w:pos="720"/>
        </w:tabs>
      </w:pPr>
      <w:r>
        <w:t xml:space="preserve">Наявність відповідних </w:t>
      </w:r>
      <w:proofErr w:type="spellStart"/>
      <w:r>
        <w:t>КВЕДів</w:t>
      </w:r>
      <w:proofErr w:type="spellEnd"/>
      <w:r>
        <w:t>.</w:t>
      </w:r>
    </w:p>
    <w:p w:rsidR="004F7FD9" w:rsidRDefault="004F7FD9">
      <w:r>
        <w:t>Учасник тендеру надає організатору наступні документи:</w:t>
      </w:r>
    </w:p>
    <w:p w:rsidR="004F7FD9" w:rsidRDefault="004F7FD9">
      <w:pPr>
        <w:numPr>
          <w:ilvl w:val="0"/>
          <w:numId w:val="22"/>
        </w:numPr>
        <w:tabs>
          <w:tab w:val="left" w:pos="720"/>
        </w:tabs>
      </w:pPr>
      <w:r>
        <w:t>Копія документу, що підтверджує державну реєстрацію;</w:t>
      </w:r>
    </w:p>
    <w:p w:rsidR="004F7FD9" w:rsidRDefault="004F7FD9">
      <w:pPr>
        <w:numPr>
          <w:ilvl w:val="0"/>
          <w:numId w:val="22"/>
        </w:numPr>
        <w:tabs>
          <w:tab w:val="left" w:pos="720"/>
        </w:tabs>
      </w:pPr>
      <w:r>
        <w:t>Копія документу, що підтверджує податковий статус;</w:t>
      </w:r>
    </w:p>
    <w:p w:rsidR="004F7FD9" w:rsidRDefault="004F7FD9">
      <w:pPr>
        <w:numPr>
          <w:ilvl w:val="0"/>
          <w:numId w:val="22"/>
        </w:numPr>
        <w:tabs>
          <w:tab w:val="left" w:pos="720"/>
        </w:tabs>
      </w:pPr>
      <w:r>
        <w:t>Тендерна пропозиція, заповнена,</w:t>
      </w:r>
      <w:r>
        <w:rPr>
          <w:lang w:val="ru-RU"/>
        </w:rPr>
        <w:t xml:space="preserve"> </w:t>
      </w:r>
      <w:r>
        <w:t>підписана,</w:t>
      </w:r>
      <w:r>
        <w:rPr>
          <w:lang w:val="ru-RU"/>
        </w:rPr>
        <w:t xml:space="preserve"> </w:t>
      </w:r>
      <w:proofErr w:type="spellStart"/>
      <w:r>
        <w:t>відсканована</w:t>
      </w:r>
      <w:proofErr w:type="spellEnd"/>
      <w:r>
        <w:rPr>
          <w:lang w:val="ru-RU"/>
        </w:rPr>
        <w:t>;</w:t>
      </w:r>
    </w:p>
    <w:p w:rsidR="004F7FD9" w:rsidRDefault="004F7FD9">
      <w:pPr>
        <w:numPr>
          <w:ilvl w:val="0"/>
          <w:numId w:val="22"/>
        </w:numPr>
        <w:tabs>
          <w:tab w:val="left" w:pos="720"/>
        </w:tabs>
      </w:pPr>
      <w:r>
        <w:t>Резюме;</w:t>
      </w:r>
    </w:p>
    <w:p w:rsidR="004F7FD9" w:rsidRDefault="004F7FD9">
      <w:pPr>
        <w:numPr>
          <w:ilvl w:val="0"/>
          <w:numId w:val="22"/>
        </w:numPr>
        <w:tabs>
          <w:tab w:val="left" w:pos="720"/>
        </w:tabs>
      </w:pPr>
      <w:r>
        <w:t>Сертифікати (за наявності).</w:t>
      </w:r>
    </w:p>
    <w:p w:rsidR="004F7FD9" w:rsidRDefault="004F7FD9">
      <w:r>
        <w:t>Істотні критерії (умови) відбору тендерних пропозицій:</w:t>
      </w:r>
    </w:p>
    <w:p w:rsidR="004F7FD9" w:rsidRDefault="004F7FD9">
      <w:pPr>
        <w:numPr>
          <w:ilvl w:val="0"/>
          <w:numId w:val="23"/>
        </w:numPr>
        <w:tabs>
          <w:tab w:val="left" w:pos="720"/>
        </w:tabs>
      </w:pPr>
      <w:r>
        <w:t>Відповідність учасника кваліфікаційним вимогам тендерного оголошення;</w:t>
      </w:r>
    </w:p>
    <w:p w:rsidR="004F7FD9" w:rsidRDefault="004F7FD9">
      <w:pPr>
        <w:numPr>
          <w:ilvl w:val="0"/>
          <w:numId w:val="23"/>
        </w:numPr>
        <w:tabs>
          <w:tab w:val="left" w:pos="720"/>
        </w:tabs>
      </w:pPr>
      <w:r>
        <w:t>Відповідність поданих документів умовам тендерного оголошення;</w:t>
      </w:r>
    </w:p>
    <w:p w:rsidR="004F7FD9" w:rsidRDefault="004F7FD9">
      <w:pPr>
        <w:numPr>
          <w:ilvl w:val="0"/>
          <w:numId w:val="23"/>
        </w:numPr>
        <w:tabs>
          <w:tab w:val="left" w:pos="720"/>
        </w:tabs>
      </w:pPr>
      <w:r>
        <w:t>Прийнятна вартість послуг.</w:t>
      </w:r>
    </w:p>
    <w:p w:rsidR="004D44F1" w:rsidRPr="004D44F1" w:rsidRDefault="004D44F1">
      <w:pPr>
        <w:numPr>
          <w:ilvl w:val="0"/>
          <w:numId w:val="23"/>
        </w:numPr>
        <w:tabs>
          <w:tab w:val="left" w:pos="720"/>
        </w:tabs>
      </w:pPr>
      <w:r w:rsidRPr="00346F9A">
        <w:rPr>
          <w:rFonts w:cstheme="minorHAnsi"/>
          <w:bCs/>
        </w:rPr>
        <w:lastRenderedPageBreak/>
        <w:t xml:space="preserve">Оплата послуг – безготівкова форма, за фактом </w:t>
      </w:r>
      <w:r>
        <w:rPr>
          <w:rFonts w:cstheme="minorHAnsi"/>
          <w:bCs/>
        </w:rPr>
        <w:t>наданих послуг</w:t>
      </w:r>
    </w:p>
    <w:p w:rsidR="004D44F1" w:rsidRPr="004D44F1" w:rsidRDefault="004D44F1" w:rsidP="00F155A0">
      <w:pPr>
        <w:pStyle w:val="a4"/>
        <w:numPr>
          <w:ilvl w:val="0"/>
          <w:numId w:val="23"/>
        </w:numPr>
        <w:tabs>
          <w:tab w:val="left" w:pos="720"/>
        </w:tabs>
        <w:spacing w:after="0" w:line="330" w:lineRule="atLeast"/>
      </w:pPr>
      <w:r w:rsidRPr="004D44F1">
        <w:rPr>
          <w:rFonts w:cstheme="minorHAnsi"/>
          <w:bCs/>
        </w:rPr>
        <w:t>Учасник погоджує фіксацію ціни послуги протягом терміну дії договору ( по 31.12.2024 включно)</w:t>
      </w:r>
    </w:p>
    <w:p w:rsidR="004D44F1" w:rsidRDefault="004D44F1" w:rsidP="004D44F1">
      <w:pPr>
        <w:tabs>
          <w:tab w:val="left" w:pos="720"/>
        </w:tabs>
        <w:spacing w:after="0" w:line="330" w:lineRule="atLeast"/>
      </w:pPr>
    </w:p>
    <w:p w:rsidR="004F7FD9" w:rsidRDefault="004F7FD9">
      <w:r>
        <w:t>Відбір підрядника буде здійснюватися на основі професійного досвіду кандидатів та їхньої компетенції, що відповідають вимогам, наведеним вище.</w:t>
      </w:r>
    </w:p>
    <w:p w:rsidR="004F7FD9" w:rsidRDefault="004F7FD9">
      <w:r>
        <w:t>Тендерні документи повинні бути складені українською мовою, підписані уповноваженою особою учасника та засвідчені печаткою (за наявності) та надіслані</w:t>
      </w:r>
      <w:r w:rsidRPr="00F0301E">
        <w:t xml:space="preserve"> у письмовому (електронному, </w:t>
      </w:r>
      <w:proofErr w:type="spellStart"/>
      <w:r w:rsidRPr="00F0301E">
        <w:t>відсканованому</w:t>
      </w:r>
      <w:proofErr w:type="spellEnd"/>
      <w:r w:rsidRPr="00F0301E">
        <w:t>) форматі з поміткою</w:t>
      </w:r>
      <w:r w:rsidR="004077F0">
        <w:rPr>
          <w:b/>
          <w:bCs/>
        </w:rPr>
        <w:t> </w:t>
      </w:r>
      <w:r w:rsidRPr="00F0301E">
        <w:rPr>
          <w:b/>
          <w:bCs/>
        </w:rPr>
        <w:t xml:space="preserve">Участь у тендері № </w:t>
      </w:r>
      <w:r w:rsidRPr="00F0301E">
        <w:rPr>
          <w:b/>
          <w:bCs/>
          <w:lang w:val="en-US"/>
        </w:rPr>
        <w:t>RFQ</w:t>
      </w:r>
      <w:r w:rsidR="0006672A">
        <w:rPr>
          <w:b/>
          <w:bCs/>
        </w:rPr>
        <w:t xml:space="preserve"> 202</w:t>
      </w:r>
      <w:r w:rsidR="006C2C76" w:rsidRPr="006C2C76">
        <w:rPr>
          <w:b/>
          <w:bCs/>
          <w:lang w:val="ru-RU"/>
        </w:rPr>
        <w:t>4</w:t>
      </w:r>
      <w:r w:rsidR="0006672A">
        <w:rPr>
          <w:b/>
          <w:bCs/>
        </w:rPr>
        <w:t>-</w:t>
      </w:r>
      <w:r w:rsidR="0006672A">
        <w:rPr>
          <w:b/>
          <w:bCs/>
          <w:lang w:val="en-US"/>
        </w:rPr>
        <w:t>S</w:t>
      </w:r>
      <w:r w:rsidR="006C2C76" w:rsidRPr="006C2C76">
        <w:rPr>
          <w:b/>
          <w:bCs/>
          <w:lang w:val="ru-RU"/>
        </w:rPr>
        <w:t>-</w:t>
      </w:r>
      <w:r w:rsidR="006C2C76">
        <w:rPr>
          <w:b/>
          <w:bCs/>
          <w:lang w:val="ru-RU"/>
        </w:rPr>
        <w:t>1</w:t>
      </w:r>
      <w:r w:rsidRPr="00F0301E">
        <w:rPr>
          <w:b/>
          <w:bCs/>
        </w:rPr>
        <w:t xml:space="preserve">: </w:t>
      </w:r>
      <w:r w:rsidR="0006672A">
        <w:rPr>
          <w:b/>
          <w:bCs/>
        </w:rPr>
        <w:t xml:space="preserve">із надання послуг </w:t>
      </w:r>
      <w:r w:rsidR="001B0E05">
        <w:rPr>
          <w:b/>
          <w:color w:val="000000"/>
          <w:lang w:eastAsia="uk-UA" w:bidi="uk-UA"/>
        </w:rPr>
        <w:t>к</w:t>
      </w:r>
      <w:r w:rsidR="001B0E05" w:rsidRPr="00800E05">
        <w:rPr>
          <w:b/>
          <w:color w:val="000000"/>
          <w:lang w:eastAsia="uk-UA" w:bidi="uk-UA"/>
        </w:rPr>
        <w:t>онсультанта з питань життєдіяльност</w:t>
      </w:r>
      <w:r w:rsidR="001B0E05">
        <w:rPr>
          <w:b/>
          <w:color w:val="000000"/>
          <w:lang w:eastAsia="uk-UA" w:bidi="uk-UA"/>
        </w:rPr>
        <w:t>і</w:t>
      </w:r>
      <w:r w:rsidRPr="0006672A">
        <w:rPr>
          <w:b/>
          <w:bCs/>
        </w:rPr>
        <w:t>,</w:t>
      </w:r>
      <w:r w:rsidRPr="00F0301E">
        <w:t xml:space="preserve"> на адресу: </w:t>
      </w:r>
      <w:hyperlink r:id="rId7" w:history="1">
        <w:r w:rsidRPr="00F0301E">
          <w:rPr>
            <w:rStyle w:val="a3"/>
            <w:b/>
            <w:bCs/>
            <w:lang w:val="en-US"/>
          </w:rPr>
          <w:t>zakupka</w:t>
        </w:r>
        <w:r w:rsidRPr="00F0301E">
          <w:rPr>
            <w:rStyle w:val="a3"/>
            <w:b/>
            <w:bCs/>
          </w:rPr>
          <w:t>@</w:t>
        </w:r>
        <w:r w:rsidRPr="00F0301E">
          <w:rPr>
            <w:rStyle w:val="a3"/>
            <w:b/>
            <w:bCs/>
            <w:lang w:val="en-US"/>
          </w:rPr>
          <w:t>neeka</w:t>
        </w:r>
        <w:r w:rsidRPr="00F0301E">
          <w:rPr>
            <w:rStyle w:val="a3"/>
            <w:b/>
            <w:bCs/>
          </w:rPr>
          <w:t>.</w:t>
        </w:r>
        <w:proofErr w:type="spellStart"/>
        <w:r w:rsidRPr="00F0301E">
          <w:rPr>
            <w:rStyle w:val="a3"/>
            <w:b/>
            <w:bCs/>
          </w:rPr>
          <w:t>org</w:t>
        </w:r>
        <w:proofErr w:type="spellEnd"/>
      </w:hyperlink>
      <w:r w:rsidRPr="00F0301E">
        <w:rPr>
          <w:b/>
          <w:bCs/>
        </w:rPr>
        <w:t>.</w:t>
      </w:r>
    </w:p>
    <w:p w:rsidR="004F7FD9" w:rsidRDefault="004F7FD9">
      <w:r>
        <w:t> Тендерна процедура:</w:t>
      </w:r>
    </w:p>
    <w:p w:rsidR="004F7FD9" w:rsidRDefault="004F7FD9">
      <w:pPr>
        <w:numPr>
          <w:ilvl w:val="0"/>
          <w:numId w:val="24"/>
        </w:numPr>
        <w:tabs>
          <w:tab w:val="left" w:pos="720"/>
        </w:tabs>
      </w:pPr>
      <w:r>
        <w:t xml:space="preserve">Тендерні пропозиції повинні залишатися чинними </w:t>
      </w:r>
      <w:r w:rsidR="004D44F1">
        <w:t>по 31.12.2024 р. (включно)</w:t>
      </w:r>
    </w:p>
    <w:p w:rsidR="004F7FD9" w:rsidRDefault="004F7FD9">
      <w:pPr>
        <w:numPr>
          <w:ilvl w:val="0"/>
          <w:numId w:val="24"/>
        </w:numPr>
        <w:tabs>
          <w:tab w:val="left" w:pos="720"/>
        </w:tabs>
      </w:pPr>
      <w:r>
        <w:t>До участі у відборі тендерних пропозицій допускаються тендерні пропозиції, які повністю відповідають умовам цього тендерного оголошення.</w:t>
      </w:r>
    </w:p>
    <w:p w:rsidR="004F7FD9" w:rsidRDefault="004F7FD9">
      <w:pPr>
        <w:numPr>
          <w:ilvl w:val="0"/>
          <w:numId w:val="24"/>
        </w:numPr>
        <w:tabs>
          <w:tab w:val="left" w:pos="720"/>
        </w:tabs>
      </w:pPr>
      <w:r>
        <w:t>Тендерні пропозиції, мають бути чинними та не підлягатимуть внесенню змін з боку учасників тендеру, що їх подали, до повного завершення надання послуг.</w:t>
      </w:r>
    </w:p>
    <w:p w:rsidR="004F7FD9" w:rsidRDefault="004F7FD9">
      <w:pPr>
        <w:numPr>
          <w:ilvl w:val="0"/>
          <w:numId w:val="24"/>
        </w:numPr>
        <w:tabs>
          <w:tab w:val="left" w:pos="720"/>
        </w:tabs>
      </w:pPr>
      <w:r>
        <w:t>Визначення переможця тендеру, відбудеться шляхом розгляду та перевірки наданих пропозицій  на відповідність умовам конкурсу, викладеним у тендерній документації. Перевага буде надана постачальнику, пропозиція якого відповідатиме зазначеним в тендерному оголошенні критеріям та пропонуватиме найнижчу ціну за умови потрібної кваліфікації постачальника. </w:t>
      </w:r>
    </w:p>
    <w:p w:rsidR="004F7FD9" w:rsidRDefault="004F7FD9">
      <w:pPr>
        <w:numPr>
          <w:ilvl w:val="0"/>
          <w:numId w:val="24"/>
        </w:numPr>
        <w:tabs>
          <w:tab w:val="left" w:pos="720"/>
        </w:tabs>
      </w:pPr>
      <w:r>
        <w:t>Результати тендеру будуть повідомлені організатором учаснику тендеру, який переміг, шляхом надсилання відповідного повідомлення електронною поштою протягом не більше ніж трьох робочих днів з дати прийняття рішення про визначення переможця.  </w:t>
      </w:r>
    </w:p>
    <w:p w:rsidR="004F7FD9" w:rsidRDefault="004F7FD9">
      <w:r>
        <w:t>Додаткові застереження:</w:t>
      </w:r>
    </w:p>
    <w:p w:rsidR="004F7FD9" w:rsidRDefault="004F7FD9">
      <w:pPr>
        <w:numPr>
          <w:ilvl w:val="0"/>
          <w:numId w:val="25"/>
        </w:numPr>
        <w:tabs>
          <w:tab w:val="left" w:pos="720"/>
        </w:tabs>
      </w:pPr>
      <w:r>
        <w:t>Учасник цієї загальної процедури (відкритого тендеру) приймає до уваги та погоджується з тим, що організатор тендеру залишає за собою право вимагати від учасника тендеру додаткові документи та/або інформацію, що підтверджують відповідність окремих положень документів вимогам та умовам цього тендерного оголошення.</w:t>
      </w:r>
    </w:p>
    <w:p w:rsidR="004F7FD9" w:rsidRDefault="004F7FD9">
      <w:pPr>
        <w:numPr>
          <w:ilvl w:val="0"/>
          <w:numId w:val="25"/>
        </w:numPr>
        <w:tabs>
          <w:tab w:val="left" w:pos="720"/>
        </w:tabs>
      </w:pPr>
      <w:r>
        <w:t>Учасник цієї загальної процедури (відкритого тендеру) надсилаючи документи для участі у загальній процедурі (відкритому тендері) за цим тендерним оголошенням підтверджує своє розуміння та згоду з тим, що організатор тендеру може відхилити його тендерну пропозицію у випадку, якщо пропозиції інших учасників міститимуть більш вигідні умови, та що організатор тендеру не обмежений у прийнятті будь-якої іншої пропозиції з більш вигідними для нього умовами.</w:t>
      </w:r>
    </w:p>
    <w:p w:rsidR="004F7FD9" w:rsidRDefault="004F7FD9">
      <w:pPr>
        <w:rPr>
          <w:b/>
          <w:bCs/>
        </w:rPr>
      </w:pPr>
    </w:p>
    <w:p w:rsidR="004F7FD9" w:rsidRDefault="004F7FD9">
      <w:pPr>
        <w:rPr>
          <w:b/>
          <w:bCs/>
        </w:rPr>
      </w:pPr>
      <w:r>
        <w:rPr>
          <w:b/>
          <w:bCs/>
        </w:rPr>
        <w:t>Затверджено:</w:t>
      </w:r>
    </w:p>
    <w:p w:rsidR="004F7FD9" w:rsidRDefault="004F7FD9">
      <w:pPr>
        <w:rPr>
          <w:b/>
          <w:bCs/>
        </w:rPr>
      </w:pPr>
      <w:r>
        <w:rPr>
          <w:b/>
          <w:bCs/>
        </w:rPr>
        <w:t>Директор МФОЗНС «Регіон Карпат» ________________</w:t>
      </w:r>
      <w:r w:rsidR="00450105">
        <w:rPr>
          <w:b/>
          <w:bCs/>
        </w:rPr>
        <w:t>_________________</w:t>
      </w:r>
      <w:r>
        <w:rPr>
          <w:b/>
          <w:bCs/>
        </w:rPr>
        <w:t>А.І. Пірчак</w:t>
      </w:r>
    </w:p>
    <w:p w:rsidR="004F7FD9" w:rsidRDefault="004F7FD9"/>
    <w:sectPr w:rsidR="004F7FD9" w:rsidSect="001B0E05">
      <w:headerReference w:type="default" r:id="rId8"/>
      <w:pgSz w:w="11900" w:h="16840"/>
      <w:pgMar w:top="1438" w:right="985" w:bottom="1135" w:left="1418" w:header="0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E4E" w:rsidRDefault="005D1E4E" w:rsidP="00011131">
      <w:pPr>
        <w:spacing w:after="0" w:line="240" w:lineRule="auto"/>
      </w:pPr>
      <w:r>
        <w:separator/>
      </w:r>
    </w:p>
  </w:endnote>
  <w:endnote w:type="continuationSeparator" w:id="0">
    <w:p w:rsidR="005D1E4E" w:rsidRDefault="005D1E4E" w:rsidP="00011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E4E" w:rsidRDefault="005D1E4E" w:rsidP="00011131">
      <w:pPr>
        <w:spacing w:after="0" w:line="240" w:lineRule="auto"/>
      </w:pPr>
      <w:r>
        <w:separator/>
      </w:r>
    </w:p>
  </w:footnote>
  <w:footnote w:type="continuationSeparator" w:id="0">
    <w:p w:rsidR="005D1E4E" w:rsidRDefault="005D1E4E" w:rsidP="00011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131" w:rsidRDefault="006E7CD4">
    <w:pPr>
      <w:pStyle w:val="a5"/>
    </w:pPr>
    <w:r>
      <w:rPr>
        <w:noProof/>
        <w:lang w:val="ru-RU" w:eastAsia="ru-R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-96520</wp:posOffset>
          </wp:positionH>
          <wp:positionV relativeFrom="paragraph">
            <wp:posOffset>50800</wp:posOffset>
          </wp:positionV>
          <wp:extent cx="6035040" cy="739140"/>
          <wp:effectExtent l="0" t="0" r="0" b="0"/>
          <wp:wrapNone/>
          <wp:docPr id="15" name="Рисунок 1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04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D463E8"/>
    <w:multiLevelType w:val="singleLevel"/>
    <w:tmpl w:val="80D463E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859014AD"/>
    <w:multiLevelType w:val="singleLevel"/>
    <w:tmpl w:val="859014AD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8E170713"/>
    <w:multiLevelType w:val="singleLevel"/>
    <w:tmpl w:val="8E170713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92814654"/>
    <w:multiLevelType w:val="singleLevel"/>
    <w:tmpl w:val="9281465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99569493"/>
    <w:multiLevelType w:val="singleLevel"/>
    <w:tmpl w:val="99569493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A234BE12"/>
    <w:multiLevelType w:val="singleLevel"/>
    <w:tmpl w:val="A234BE1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BD3A9DD5"/>
    <w:multiLevelType w:val="singleLevel"/>
    <w:tmpl w:val="BD3A9DD5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C29B4FCE"/>
    <w:multiLevelType w:val="singleLevel"/>
    <w:tmpl w:val="C29B4FC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8" w15:restartNumberingAfterBreak="0">
    <w:nsid w:val="D8D029AB"/>
    <w:multiLevelType w:val="singleLevel"/>
    <w:tmpl w:val="D8D029AB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9" w15:restartNumberingAfterBreak="0">
    <w:nsid w:val="DB6F8073"/>
    <w:multiLevelType w:val="singleLevel"/>
    <w:tmpl w:val="DB6F8073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0" w15:restartNumberingAfterBreak="0">
    <w:nsid w:val="E18A7513"/>
    <w:multiLevelType w:val="singleLevel"/>
    <w:tmpl w:val="E18A7513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1" w15:restartNumberingAfterBreak="0">
    <w:nsid w:val="ED22F428"/>
    <w:multiLevelType w:val="singleLevel"/>
    <w:tmpl w:val="ED22F42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06AC1E99"/>
    <w:multiLevelType w:val="hybridMultilevel"/>
    <w:tmpl w:val="38D0DF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000767"/>
    <w:multiLevelType w:val="hybridMultilevel"/>
    <w:tmpl w:val="CB040132"/>
    <w:lvl w:ilvl="0" w:tplc="2F3801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450E7F"/>
    <w:multiLevelType w:val="singleLevel"/>
    <w:tmpl w:val="10450E7F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11FB340D"/>
    <w:multiLevelType w:val="singleLevel"/>
    <w:tmpl w:val="11FB340D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6" w15:restartNumberingAfterBreak="0">
    <w:nsid w:val="15F26CE8"/>
    <w:multiLevelType w:val="singleLevel"/>
    <w:tmpl w:val="15F26CE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7" w15:restartNumberingAfterBreak="0">
    <w:nsid w:val="169178A5"/>
    <w:multiLevelType w:val="hybridMultilevel"/>
    <w:tmpl w:val="3BF4715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D3E32A2"/>
    <w:multiLevelType w:val="singleLevel"/>
    <w:tmpl w:val="1D3E32A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9" w15:restartNumberingAfterBreak="0">
    <w:nsid w:val="20447A8A"/>
    <w:multiLevelType w:val="hybridMultilevel"/>
    <w:tmpl w:val="C3D2F1D2"/>
    <w:lvl w:ilvl="0" w:tplc="2F3801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98764AD0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9C32CA"/>
    <w:multiLevelType w:val="multilevel"/>
    <w:tmpl w:val="249C3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4F6D692"/>
    <w:multiLevelType w:val="singleLevel"/>
    <w:tmpl w:val="24F6D69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2" w15:restartNumberingAfterBreak="0">
    <w:nsid w:val="29013507"/>
    <w:multiLevelType w:val="hybridMultilevel"/>
    <w:tmpl w:val="C332108A"/>
    <w:lvl w:ilvl="0" w:tplc="2F3801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4B2A62"/>
    <w:multiLevelType w:val="hybridMultilevel"/>
    <w:tmpl w:val="3F667D8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201487"/>
    <w:multiLevelType w:val="multilevel"/>
    <w:tmpl w:val="805CE0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A767620"/>
    <w:multiLevelType w:val="hybridMultilevel"/>
    <w:tmpl w:val="0530444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AB4058"/>
    <w:multiLevelType w:val="singleLevel"/>
    <w:tmpl w:val="3EAB405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7" w15:restartNumberingAfterBreak="0">
    <w:nsid w:val="3F9A2E0F"/>
    <w:multiLevelType w:val="hybridMultilevel"/>
    <w:tmpl w:val="C808994E"/>
    <w:lvl w:ilvl="0" w:tplc="2F3801A6">
      <w:start w:val="1"/>
      <w:numFmt w:val="bullet"/>
      <w:lvlText w:val=""/>
      <w:lvlJc w:val="left"/>
      <w:pPr>
        <w:ind w:left="129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8" w15:restartNumberingAfterBreak="0">
    <w:nsid w:val="451A3BA5"/>
    <w:multiLevelType w:val="hybridMultilevel"/>
    <w:tmpl w:val="04E050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108A1"/>
    <w:multiLevelType w:val="multilevel"/>
    <w:tmpl w:val="4F1108A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6461F1"/>
    <w:multiLevelType w:val="hybridMultilevel"/>
    <w:tmpl w:val="36C0C36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603839"/>
    <w:multiLevelType w:val="singleLevel"/>
    <w:tmpl w:val="51603839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32" w15:restartNumberingAfterBreak="0">
    <w:nsid w:val="52142120"/>
    <w:multiLevelType w:val="hybridMultilevel"/>
    <w:tmpl w:val="DDB04218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31F0CF1"/>
    <w:multiLevelType w:val="hybridMultilevel"/>
    <w:tmpl w:val="90A476CC"/>
    <w:lvl w:ilvl="0" w:tplc="A52AC4C0">
      <w:numFmt w:val="bullet"/>
      <w:lvlText w:val="-"/>
      <w:lvlJc w:val="left"/>
      <w:pPr>
        <w:ind w:left="93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4" w15:restartNumberingAfterBreak="0">
    <w:nsid w:val="63487EDA"/>
    <w:multiLevelType w:val="hybridMultilevel"/>
    <w:tmpl w:val="564C3D66"/>
    <w:lvl w:ilvl="0" w:tplc="2F3801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EA73FE"/>
    <w:multiLevelType w:val="multilevel"/>
    <w:tmpl w:val="6AEA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DB6BC5"/>
    <w:multiLevelType w:val="multilevel"/>
    <w:tmpl w:val="6CDB6BC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C25D68"/>
    <w:multiLevelType w:val="hybridMultilevel"/>
    <w:tmpl w:val="5EA689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1F75CC"/>
    <w:multiLevelType w:val="hybridMultilevel"/>
    <w:tmpl w:val="BC34B50A"/>
    <w:lvl w:ilvl="0" w:tplc="2F3801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65423B"/>
    <w:multiLevelType w:val="hybridMultilevel"/>
    <w:tmpl w:val="06E82D26"/>
    <w:lvl w:ilvl="0" w:tplc="2F3801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2CB7F4"/>
    <w:multiLevelType w:val="singleLevel"/>
    <w:tmpl w:val="772CB7F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41" w15:restartNumberingAfterBreak="0">
    <w:nsid w:val="773E5287"/>
    <w:multiLevelType w:val="multilevel"/>
    <w:tmpl w:val="8CFAF32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6B52C4"/>
    <w:multiLevelType w:val="hybridMultilevel"/>
    <w:tmpl w:val="F92CC2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BC5D8C"/>
    <w:multiLevelType w:val="hybridMultilevel"/>
    <w:tmpl w:val="B296AB9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290F9D"/>
    <w:multiLevelType w:val="multilevel"/>
    <w:tmpl w:val="7F290F9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10"/>
  </w:num>
  <w:num w:numId="3">
    <w:abstractNumId w:val="40"/>
  </w:num>
  <w:num w:numId="4">
    <w:abstractNumId w:val="31"/>
  </w:num>
  <w:num w:numId="5">
    <w:abstractNumId w:val="6"/>
  </w:num>
  <w:num w:numId="6">
    <w:abstractNumId w:val="8"/>
  </w:num>
  <w:num w:numId="7">
    <w:abstractNumId w:val="18"/>
  </w:num>
  <w:num w:numId="8">
    <w:abstractNumId w:val="3"/>
  </w:num>
  <w:num w:numId="9">
    <w:abstractNumId w:val="14"/>
  </w:num>
  <w:num w:numId="10">
    <w:abstractNumId w:val="16"/>
  </w:num>
  <w:num w:numId="11">
    <w:abstractNumId w:val="5"/>
  </w:num>
  <w:num w:numId="12">
    <w:abstractNumId w:val="11"/>
  </w:num>
  <w:num w:numId="13">
    <w:abstractNumId w:val="21"/>
  </w:num>
  <w:num w:numId="14">
    <w:abstractNumId w:val="15"/>
  </w:num>
  <w:num w:numId="15">
    <w:abstractNumId w:val="9"/>
  </w:num>
  <w:num w:numId="16">
    <w:abstractNumId w:val="2"/>
  </w:num>
  <w:num w:numId="17">
    <w:abstractNumId w:val="4"/>
  </w:num>
  <w:num w:numId="18">
    <w:abstractNumId w:val="7"/>
  </w:num>
  <w:num w:numId="19">
    <w:abstractNumId w:val="1"/>
  </w:num>
  <w:num w:numId="20">
    <w:abstractNumId w:val="0"/>
  </w:num>
  <w:num w:numId="21">
    <w:abstractNumId w:val="20"/>
  </w:num>
  <w:num w:numId="22">
    <w:abstractNumId w:val="36"/>
  </w:num>
  <w:num w:numId="23">
    <w:abstractNumId w:val="44"/>
  </w:num>
  <w:num w:numId="24">
    <w:abstractNumId w:val="35"/>
  </w:num>
  <w:num w:numId="25">
    <w:abstractNumId w:val="29"/>
  </w:num>
  <w:num w:numId="26">
    <w:abstractNumId w:val="25"/>
  </w:num>
  <w:num w:numId="27">
    <w:abstractNumId w:val="12"/>
  </w:num>
  <w:num w:numId="28">
    <w:abstractNumId w:val="30"/>
  </w:num>
  <w:num w:numId="29">
    <w:abstractNumId w:val="28"/>
  </w:num>
  <w:num w:numId="30">
    <w:abstractNumId w:val="23"/>
  </w:num>
  <w:num w:numId="31">
    <w:abstractNumId w:val="17"/>
  </w:num>
  <w:num w:numId="32">
    <w:abstractNumId w:val="32"/>
  </w:num>
  <w:num w:numId="33">
    <w:abstractNumId w:val="37"/>
  </w:num>
  <w:num w:numId="34">
    <w:abstractNumId w:val="42"/>
  </w:num>
  <w:num w:numId="35">
    <w:abstractNumId w:val="43"/>
  </w:num>
  <w:num w:numId="36">
    <w:abstractNumId w:val="41"/>
  </w:num>
  <w:num w:numId="37">
    <w:abstractNumId w:val="27"/>
  </w:num>
  <w:num w:numId="38">
    <w:abstractNumId w:val="33"/>
  </w:num>
  <w:num w:numId="39">
    <w:abstractNumId w:val="13"/>
  </w:num>
  <w:num w:numId="40">
    <w:abstractNumId w:val="38"/>
  </w:num>
  <w:num w:numId="41">
    <w:abstractNumId w:val="39"/>
  </w:num>
  <w:num w:numId="42">
    <w:abstractNumId w:val="22"/>
  </w:num>
  <w:num w:numId="43">
    <w:abstractNumId w:val="34"/>
  </w:num>
  <w:num w:numId="44">
    <w:abstractNumId w:val="24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115"/>
    <w:rsid w:val="0000481B"/>
    <w:rsid w:val="00011131"/>
    <w:rsid w:val="000141CA"/>
    <w:rsid w:val="00024211"/>
    <w:rsid w:val="00025099"/>
    <w:rsid w:val="00054476"/>
    <w:rsid w:val="0006672A"/>
    <w:rsid w:val="000C2647"/>
    <w:rsid w:val="000E17C8"/>
    <w:rsid w:val="000F2701"/>
    <w:rsid w:val="00112450"/>
    <w:rsid w:val="00127A44"/>
    <w:rsid w:val="001416FE"/>
    <w:rsid w:val="00150BED"/>
    <w:rsid w:val="00151BDB"/>
    <w:rsid w:val="00165F17"/>
    <w:rsid w:val="00172F37"/>
    <w:rsid w:val="00192202"/>
    <w:rsid w:val="00193A39"/>
    <w:rsid w:val="00196208"/>
    <w:rsid w:val="001970FB"/>
    <w:rsid w:val="001B0E05"/>
    <w:rsid w:val="001B1E3D"/>
    <w:rsid w:val="001E2419"/>
    <w:rsid w:val="00237622"/>
    <w:rsid w:val="00241AF4"/>
    <w:rsid w:val="00253EB9"/>
    <w:rsid w:val="00257F83"/>
    <w:rsid w:val="00257FAF"/>
    <w:rsid w:val="00261721"/>
    <w:rsid w:val="00280B30"/>
    <w:rsid w:val="00297354"/>
    <w:rsid w:val="002A40C4"/>
    <w:rsid w:val="002B0352"/>
    <w:rsid w:val="002F2922"/>
    <w:rsid w:val="003107E4"/>
    <w:rsid w:val="00320AD9"/>
    <w:rsid w:val="00320DB0"/>
    <w:rsid w:val="00342F07"/>
    <w:rsid w:val="00345BBB"/>
    <w:rsid w:val="00363335"/>
    <w:rsid w:val="00364D2D"/>
    <w:rsid w:val="003E39B2"/>
    <w:rsid w:val="004077F0"/>
    <w:rsid w:val="00422042"/>
    <w:rsid w:val="00430EDF"/>
    <w:rsid w:val="00450105"/>
    <w:rsid w:val="00467297"/>
    <w:rsid w:val="00473F08"/>
    <w:rsid w:val="00480F38"/>
    <w:rsid w:val="00483590"/>
    <w:rsid w:val="004904CE"/>
    <w:rsid w:val="00495F22"/>
    <w:rsid w:val="004A5DDB"/>
    <w:rsid w:val="004D44F1"/>
    <w:rsid w:val="004E085E"/>
    <w:rsid w:val="004E4563"/>
    <w:rsid w:val="004F7FD9"/>
    <w:rsid w:val="00504083"/>
    <w:rsid w:val="00566B5A"/>
    <w:rsid w:val="005D1E4E"/>
    <w:rsid w:val="00615EBB"/>
    <w:rsid w:val="006339C6"/>
    <w:rsid w:val="00692B22"/>
    <w:rsid w:val="006A2357"/>
    <w:rsid w:val="006C2C76"/>
    <w:rsid w:val="006E12DA"/>
    <w:rsid w:val="006E65B3"/>
    <w:rsid w:val="006E78F3"/>
    <w:rsid w:val="006E7CD4"/>
    <w:rsid w:val="006F4463"/>
    <w:rsid w:val="007329CB"/>
    <w:rsid w:val="00767EAD"/>
    <w:rsid w:val="00774C04"/>
    <w:rsid w:val="007A5C82"/>
    <w:rsid w:val="007A5FE7"/>
    <w:rsid w:val="007A70BC"/>
    <w:rsid w:val="007B6884"/>
    <w:rsid w:val="007C6D9E"/>
    <w:rsid w:val="007C730B"/>
    <w:rsid w:val="00800E05"/>
    <w:rsid w:val="00855C4F"/>
    <w:rsid w:val="008645B7"/>
    <w:rsid w:val="008E42A1"/>
    <w:rsid w:val="00913862"/>
    <w:rsid w:val="0093054D"/>
    <w:rsid w:val="00972022"/>
    <w:rsid w:val="00977460"/>
    <w:rsid w:val="00985459"/>
    <w:rsid w:val="009D51BC"/>
    <w:rsid w:val="009E61EF"/>
    <w:rsid w:val="009F5DC0"/>
    <w:rsid w:val="00A06702"/>
    <w:rsid w:val="00A142AE"/>
    <w:rsid w:val="00A4034F"/>
    <w:rsid w:val="00A45683"/>
    <w:rsid w:val="00AB1115"/>
    <w:rsid w:val="00AC1E33"/>
    <w:rsid w:val="00AD417A"/>
    <w:rsid w:val="00B433CA"/>
    <w:rsid w:val="00B50985"/>
    <w:rsid w:val="00B71E12"/>
    <w:rsid w:val="00BB0C3C"/>
    <w:rsid w:val="00C02916"/>
    <w:rsid w:val="00C06F49"/>
    <w:rsid w:val="00C14385"/>
    <w:rsid w:val="00C259AB"/>
    <w:rsid w:val="00C53BA2"/>
    <w:rsid w:val="00CA4BA8"/>
    <w:rsid w:val="00CC296E"/>
    <w:rsid w:val="00CC53C1"/>
    <w:rsid w:val="00CD3C34"/>
    <w:rsid w:val="00D22130"/>
    <w:rsid w:val="00D31ABD"/>
    <w:rsid w:val="00D8208D"/>
    <w:rsid w:val="00DA153F"/>
    <w:rsid w:val="00DD2BE2"/>
    <w:rsid w:val="00DE69E9"/>
    <w:rsid w:val="00E35F35"/>
    <w:rsid w:val="00E77BEE"/>
    <w:rsid w:val="00EC4E44"/>
    <w:rsid w:val="00EE3EFC"/>
    <w:rsid w:val="00F0301E"/>
    <w:rsid w:val="00F031CE"/>
    <w:rsid w:val="00F249D9"/>
    <w:rsid w:val="00F307A3"/>
    <w:rsid w:val="00F87C65"/>
    <w:rsid w:val="00FC70C1"/>
    <w:rsid w:val="00FD00FD"/>
    <w:rsid w:val="00FE7873"/>
    <w:rsid w:val="02B64748"/>
    <w:rsid w:val="0B16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C6D4D"/>
  <w15:chartTrackingRefBased/>
  <w15:docId w15:val="{CD29B63B-DAE6-496A-BAD9-09C7D364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563C1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11131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011131"/>
    <w:rPr>
      <w:rFonts w:ascii="Calibri" w:eastAsia="Calibri" w:hAnsi="Calibri" w:cs="Arial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01113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rsid w:val="00011131"/>
    <w:rPr>
      <w:rFonts w:ascii="Calibri" w:eastAsia="Calibri" w:hAnsi="Calibri" w:cs="Arial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07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77F0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5">
    <w:name w:val="Основной текст (5)_"/>
    <w:basedOn w:val="a0"/>
    <w:link w:val="50"/>
    <w:rsid w:val="00800E05"/>
    <w:rPr>
      <w:rFonts w:eastAsia="Times New Roman"/>
      <w:i/>
      <w:iCs/>
      <w:sz w:val="48"/>
      <w:szCs w:val="48"/>
      <w:shd w:val="clear" w:color="auto" w:fill="FFFFFF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800E05"/>
    <w:rPr>
      <w:rFonts w:ascii="Arial" w:eastAsia="Arial" w:hAnsi="Arial" w:cs="Arial"/>
      <w:color w:val="626262"/>
      <w:sz w:val="12"/>
      <w:szCs w:val="12"/>
      <w:shd w:val="clear" w:color="auto" w:fill="FFFFFF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800E05"/>
    <w:rPr>
      <w:rFonts w:ascii="Segoe UI" w:eastAsia="Segoe UI" w:hAnsi="Segoe UI" w:cs="Segoe UI"/>
      <w:color w:val="1E1E1E"/>
      <w:sz w:val="14"/>
      <w:szCs w:val="14"/>
      <w:shd w:val="clear" w:color="auto" w:fill="FFFFFF"/>
      <w:lang w:val="en-US" w:eastAsia="en-US" w:bidi="en-US"/>
    </w:rPr>
  </w:style>
  <w:style w:type="character" w:customStyle="1" w:styleId="3">
    <w:name w:val="Основной текст (3)_"/>
    <w:basedOn w:val="a0"/>
    <w:link w:val="30"/>
    <w:rsid w:val="00800E05"/>
    <w:rPr>
      <w:rFonts w:eastAsia="Times New Roman"/>
      <w:color w:val="454545"/>
      <w:sz w:val="14"/>
      <w:szCs w:val="14"/>
      <w:shd w:val="clear" w:color="auto" w:fill="FFFFFF"/>
      <w:lang w:val="en-US" w:eastAsia="en-US" w:bidi="en-US"/>
    </w:rPr>
  </w:style>
  <w:style w:type="character" w:customStyle="1" w:styleId="ab">
    <w:name w:val="Основной текст_"/>
    <w:basedOn w:val="a0"/>
    <w:link w:val="1"/>
    <w:rsid w:val="00800E05"/>
    <w:rPr>
      <w:rFonts w:eastAsia="Times New Roman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00E05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i/>
      <w:iCs/>
      <w:sz w:val="48"/>
      <w:szCs w:val="48"/>
      <w:lang w:val="en-US" w:bidi="en-US"/>
    </w:rPr>
  </w:style>
  <w:style w:type="paragraph" w:customStyle="1" w:styleId="40">
    <w:name w:val="Основной текст (4)"/>
    <w:basedOn w:val="a"/>
    <w:link w:val="4"/>
    <w:rsid w:val="00800E05"/>
    <w:pPr>
      <w:widowControl w:val="0"/>
      <w:shd w:val="clear" w:color="auto" w:fill="FFFFFF"/>
      <w:spacing w:after="0" w:line="240" w:lineRule="auto"/>
    </w:pPr>
    <w:rPr>
      <w:rFonts w:ascii="Arial" w:eastAsia="Arial" w:hAnsi="Arial"/>
      <w:color w:val="626262"/>
      <w:sz w:val="12"/>
      <w:szCs w:val="12"/>
      <w:lang w:val="en-US" w:bidi="en-US"/>
    </w:rPr>
  </w:style>
  <w:style w:type="paragraph" w:customStyle="1" w:styleId="20">
    <w:name w:val="Основной текст (2)"/>
    <w:basedOn w:val="a"/>
    <w:link w:val="2"/>
    <w:rsid w:val="00800E05"/>
    <w:pPr>
      <w:widowControl w:val="0"/>
      <w:shd w:val="clear" w:color="auto" w:fill="FFFFFF"/>
      <w:spacing w:after="0" w:line="247" w:lineRule="auto"/>
    </w:pPr>
    <w:rPr>
      <w:rFonts w:ascii="Segoe UI" w:eastAsia="Segoe UI" w:hAnsi="Segoe UI" w:cs="Segoe UI"/>
      <w:color w:val="1E1E1E"/>
      <w:sz w:val="14"/>
      <w:szCs w:val="14"/>
      <w:lang w:val="en-US" w:bidi="en-US"/>
    </w:rPr>
  </w:style>
  <w:style w:type="paragraph" w:customStyle="1" w:styleId="30">
    <w:name w:val="Основной текст (3)"/>
    <w:basedOn w:val="a"/>
    <w:link w:val="3"/>
    <w:rsid w:val="00800E05"/>
    <w:pPr>
      <w:widowControl w:val="0"/>
      <w:shd w:val="clear" w:color="auto" w:fill="FFFFFF"/>
      <w:spacing w:after="0" w:line="274" w:lineRule="auto"/>
      <w:jc w:val="right"/>
    </w:pPr>
    <w:rPr>
      <w:rFonts w:ascii="Times New Roman" w:eastAsia="Times New Roman" w:hAnsi="Times New Roman" w:cs="Times New Roman"/>
      <w:color w:val="454545"/>
      <w:sz w:val="14"/>
      <w:szCs w:val="14"/>
      <w:lang w:val="en-US" w:bidi="en-US"/>
    </w:rPr>
  </w:style>
  <w:style w:type="paragraph" w:customStyle="1" w:styleId="1">
    <w:name w:val="Основной текст1"/>
    <w:basedOn w:val="a"/>
    <w:link w:val="ab"/>
    <w:rsid w:val="00800E05"/>
    <w:pPr>
      <w:widowControl w:val="0"/>
      <w:shd w:val="clear" w:color="auto" w:fill="FFFFFF"/>
      <w:spacing w:after="280" w:line="240" w:lineRule="auto"/>
    </w:pPr>
    <w:rPr>
      <w:rFonts w:ascii="Times New Roman" w:eastAsia="Times New Roman" w:hAnsi="Times New Roman" w:cs="Times New Roman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1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kupka@neek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Links>
    <vt:vector size="6" baseType="variant">
      <vt:variant>
        <vt:i4>39</vt:i4>
      </vt:variant>
      <vt:variant>
        <vt:i4>0</vt:i4>
      </vt:variant>
      <vt:variant>
        <vt:i4>0</vt:i4>
      </vt:variant>
      <vt:variant>
        <vt:i4>5</vt:i4>
      </vt:variant>
      <vt:variant>
        <vt:lpwstr>mailto:zakupka@neeka.org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cp:lastModifiedBy>Андрей Петринка</cp:lastModifiedBy>
  <cp:revision>6</cp:revision>
  <cp:lastPrinted>2024-02-08T08:55:00Z</cp:lastPrinted>
  <dcterms:created xsi:type="dcterms:W3CDTF">2024-02-08T08:43:00Z</dcterms:created>
  <dcterms:modified xsi:type="dcterms:W3CDTF">2024-02-08T14:42:00Z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DB81225B2D8D4F7A93C3347FCE214D34_13</vt:lpwstr>
  </property>
</Properties>
</file>